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B8" w:rsidRPr="009560AD" w:rsidRDefault="002674B8" w:rsidP="002674B8">
      <w:pPr>
        <w:pStyle w:val="NormalWeb"/>
        <w:spacing w:before="0" w:beforeAutospacing="0" w:after="0" w:afterAutospacing="0"/>
        <w:rPr>
          <w:rFonts w:ascii="Cambria" w:eastAsia="Cambria" w:hAnsi="Cambria" w:cs="Arial"/>
          <w:b/>
          <w:bCs/>
          <w:color w:val="020301"/>
          <w:szCs w:val="36"/>
        </w:rPr>
      </w:pPr>
      <w:r w:rsidRPr="009560AD">
        <w:rPr>
          <w:rFonts w:ascii="Cambria" w:eastAsia="Cambria" w:hAnsi="Cambria" w:cs="Arial"/>
          <w:b/>
          <w:bCs/>
          <w:color w:val="020301"/>
          <w:szCs w:val="36"/>
        </w:rPr>
        <w:t>An I</w:t>
      </w:r>
      <w:r>
        <w:rPr>
          <w:rFonts w:ascii="Cambria" w:eastAsia="Cambria" w:hAnsi="Cambria" w:cs="Arial"/>
          <w:b/>
          <w:bCs/>
          <w:color w:val="020301"/>
          <w:szCs w:val="36"/>
        </w:rPr>
        <w:t xml:space="preserve">                                       I</w:t>
      </w:r>
      <w:r w:rsidRPr="009560AD">
        <w:rPr>
          <w:rFonts w:ascii="Cambria" w:eastAsia="Cambria" w:hAnsi="Cambria" w:cs="Arial"/>
          <w:b/>
          <w:bCs/>
          <w:color w:val="020301"/>
          <w:szCs w:val="36"/>
        </w:rPr>
        <w:t>nternational CBSE Finger Print School</w:t>
      </w:r>
    </w:p>
    <w:p w:rsidR="002674B8" w:rsidRPr="009560AD" w:rsidRDefault="002674B8" w:rsidP="002674B8">
      <w:pPr>
        <w:pStyle w:val="NormalWeb"/>
        <w:spacing w:before="0" w:beforeAutospacing="0" w:after="0" w:afterAutospacing="0"/>
        <w:jc w:val="center"/>
        <w:rPr>
          <w:sz w:val="12"/>
        </w:rPr>
      </w:pPr>
      <w:r w:rsidRPr="009560AD">
        <w:rPr>
          <w:rFonts w:ascii="Cambria" w:eastAsia="Cambria" w:hAnsi="Cambria"/>
          <w:b/>
          <w:bCs/>
          <w:color w:val="020301"/>
          <w:szCs w:val="36"/>
          <w:lang w:val="en-US"/>
        </w:rPr>
        <w:t>Coimbatore</w:t>
      </w:r>
    </w:p>
    <w:p w:rsidR="00D718F9" w:rsidRPr="00D718F9" w:rsidRDefault="002674B8" w:rsidP="00D718F9">
      <w:pPr>
        <w:pStyle w:val="Heading1"/>
        <w:shd w:val="clear" w:color="auto" w:fill="FFFFFF"/>
        <w:spacing w:before="0" w:beforeAutospacing="0" w:after="0" w:afterAutospacing="0" w:line="600" w:lineRule="atLeast"/>
        <w:rPr>
          <w:rFonts w:ascii="Arial" w:hAnsi="Arial" w:cs="Arial"/>
          <w:b w:val="0"/>
          <w:bCs w:val="0"/>
          <w:color w:val="FFFFFF"/>
        </w:rPr>
      </w:pPr>
      <w:r>
        <w:rPr>
          <w:noProof/>
          <w:szCs w:val="28"/>
        </w:rPr>
        <w:drawing>
          <wp:anchor distT="0" distB="0" distL="114300" distR="114300" simplePos="0" relativeHeight="251663360" behindDoc="1" locked="0" layoutInCell="1" allowOverlap="1">
            <wp:simplePos x="0" y="0"/>
            <wp:positionH relativeFrom="column">
              <wp:posOffset>4953000</wp:posOffset>
            </wp:positionH>
            <wp:positionV relativeFrom="paragraph">
              <wp:posOffset>-996315</wp:posOffset>
            </wp:positionV>
            <wp:extent cx="837565" cy="504825"/>
            <wp:effectExtent l="19050" t="0" r="635" b="0"/>
            <wp:wrapTight wrapText="bothSides">
              <wp:wrapPolygon edited="0">
                <wp:start x="15230" y="0"/>
                <wp:lineTo x="2456" y="3260"/>
                <wp:lineTo x="-491" y="5706"/>
                <wp:lineTo x="-491" y="21192"/>
                <wp:lineTo x="5404" y="21192"/>
                <wp:lineTo x="18177" y="21192"/>
                <wp:lineTo x="21616" y="19562"/>
                <wp:lineTo x="21616" y="0"/>
                <wp:lineTo x="15230" y="0"/>
              </wp:wrapPolygon>
            </wp:wrapTight>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Shape;15;p1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7565" cy="504825"/>
                    </a:xfrm>
                    <a:prstGeom prst="rect">
                      <a:avLst/>
                    </a:prstGeom>
                    <a:noFill/>
                    <a:ln>
                      <a:noFill/>
                    </a:ln>
                  </pic:spPr>
                </pic:pic>
              </a:graphicData>
            </a:graphic>
          </wp:anchor>
        </w:drawing>
      </w:r>
      <w:r>
        <w:rPr>
          <w:noProof/>
          <w:szCs w:val="28"/>
        </w:rPr>
        <w:drawing>
          <wp:anchor distT="0" distB="0" distL="114300" distR="114300" simplePos="0" relativeHeight="251661312" behindDoc="0" locked="0" layoutInCell="1" allowOverlap="1">
            <wp:simplePos x="0" y="0"/>
            <wp:positionH relativeFrom="column">
              <wp:posOffset>1238250</wp:posOffset>
            </wp:positionH>
            <wp:positionV relativeFrom="paragraph">
              <wp:posOffset>-796290</wp:posOffset>
            </wp:positionV>
            <wp:extent cx="2219325" cy="419100"/>
            <wp:effectExtent l="0" t="0" r="9525"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087" t="-4756" b="35791"/>
                    <a:stretch>
                      <a:fillRect/>
                    </a:stretch>
                  </pic:blipFill>
                  <pic:spPr bwMode="auto">
                    <a:xfrm>
                      <a:off x="0" y="0"/>
                      <a:ext cx="2219325" cy="419100"/>
                    </a:xfrm>
                    <a:prstGeom prst="rect">
                      <a:avLst/>
                    </a:prstGeom>
                    <a:noFill/>
                    <a:ln>
                      <a:noFill/>
                    </a:ln>
                  </pic:spPr>
                </pic:pic>
              </a:graphicData>
            </a:graphic>
          </wp:anchor>
        </w:drawing>
      </w:r>
      <w:r>
        <w:rPr>
          <w:noProof/>
          <w:szCs w:val="28"/>
        </w:rPr>
        <w:drawing>
          <wp:anchor distT="0" distB="0" distL="114300" distR="114300" simplePos="0" relativeHeight="251659264" behindDoc="0" locked="0" layoutInCell="1" allowOverlap="1">
            <wp:simplePos x="0" y="0"/>
            <wp:positionH relativeFrom="column">
              <wp:posOffset>-352425</wp:posOffset>
            </wp:positionH>
            <wp:positionV relativeFrom="paragraph">
              <wp:posOffset>-891540</wp:posOffset>
            </wp:positionV>
            <wp:extent cx="638175" cy="666750"/>
            <wp:effectExtent l="19050" t="0" r="9525"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anchor>
        </w:drawing>
      </w:r>
      <w:r w:rsidR="00D718F9" w:rsidRPr="00D718F9">
        <w:rPr>
          <w:rFonts w:ascii="Arial" w:hAnsi="Arial" w:cs="Arial"/>
          <w:b w:val="0"/>
          <w:bCs w:val="0"/>
          <w:color w:val="FFFFFF"/>
        </w:rPr>
        <w:t>Theory Base of Accounting</w:t>
      </w:r>
    </w:p>
    <w:p w:rsidR="00D718F9" w:rsidRPr="00D718F9" w:rsidRDefault="0096512C" w:rsidP="00D718F9">
      <w:pPr>
        <w:pStyle w:val="Heading1"/>
        <w:shd w:val="clear" w:color="auto" w:fill="FFFFFF"/>
        <w:spacing w:before="0" w:beforeAutospacing="0" w:after="0" w:afterAutospacing="0" w:line="600" w:lineRule="atLeast"/>
        <w:rPr>
          <w:rFonts w:ascii="Arial" w:hAnsi="Arial" w:cs="Arial"/>
          <w:b w:val="0"/>
          <w:bCs w:val="0"/>
          <w:color w:val="FFFFFF"/>
        </w:rPr>
      </w:pPr>
      <w:r w:rsidRPr="00BF5E69">
        <w:rPr>
          <w:szCs w:val="28"/>
        </w:rPr>
        <w:t xml:space="preserve"> </w:t>
      </w:r>
      <w:r w:rsidR="00D718F9" w:rsidRPr="00D718F9">
        <w:rPr>
          <w:rFonts w:ascii="Arial" w:hAnsi="Arial" w:cs="Arial"/>
          <w:b w:val="0"/>
          <w:bCs w:val="0"/>
          <w:color w:val="FFFFFF"/>
        </w:rPr>
        <w:t>Theory Base of Accounting</w:t>
      </w:r>
    </w:p>
    <w:p w:rsidR="00D718F9" w:rsidRPr="00D718F9" w:rsidRDefault="00D718F9" w:rsidP="00D718F9">
      <w:pPr>
        <w:pStyle w:val="Heading2"/>
        <w:shd w:val="clear" w:color="auto" w:fill="FFFFFF"/>
        <w:spacing w:before="300" w:after="150" w:line="480" w:lineRule="atLeast"/>
        <w:rPr>
          <w:rFonts w:ascii="Arial" w:hAnsi="Arial" w:cs="Arial"/>
          <w:color w:val="444444"/>
          <w:sz w:val="40"/>
          <w:szCs w:val="40"/>
          <w:u w:val="single"/>
        </w:rPr>
      </w:pPr>
      <w:r w:rsidRPr="00D718F9">
        <w:rPr>
          <w:rFonts w:ascii="Arial" w:hAnsi="Arial" w:cs="Arial"/>
          <w:color w:val="444444"/>
          <w:sz w:val="40"/>
          <w:szCs w:val="40"/>
          <w:u w:val="single"/>
        </w:rPr>
        <w:t>Theory Base of Accounting</w:t>
      </w:r>
    </w:p>
    <w:p w:rsidR="00D718F9" w:rsidRPr="00D718F9" w:rsidRDefault="00D718F9" w:rsidP="00D718F9">
      <w:pPr>
        <w:pStyle w:val="NormalWeb"/>
        <w:shd w:val="clear" w:color="auto" w:fill="FFFFFF"/>
        <w:spacing w:before="0" w:beforeAutospacing="0" w:after="240" w:afterAutospacing="0" w:line="360" w:lineRule="atLeast"/>
        <w:rPr>
          <w:rFonts w:ascii="Arial" w:hAnsi="Arial" w:cs="Arial"/>
          <w:sz w:val="28"/>
          <w:szCs w:val="28"/>
        </w:rPr>
      </w:pPr>
      <w:r w:rsidRPr="00D718F9">
        <w:rPr>
          <w:rFonts w:ascii="Arial" w:hAnsi="Arial" w:cs="Arial"/>
          <w:sz w:val="28"/>
          <w:szCs w:val="28"/>
        </w:rPr>
        <w:t>Theory Base of Accounting concepts are fundamentally the basic ideas holding the theory base of accounting and therefore, can be regarded as general working practices for all accounting activities. These concepts are mentioned below:</w:t>
      </w:r>
    </w:p>
    <w:p w:rsidR="00D718F9" w:rsidRPr="00D718F9" w:rsidRDefault="00D718F9" w:rsidP="00D718F9">
      <w:pPr>
        <w:numPr>
          <w:ilvl w:val="0"/>
          <w:numId w:val="3"/>
        </w:numPr>
        <w:shd w:val="clear" w:color="auto" w:fill="FFFFFF"/>
        <w:spacing w:before="100" w:beforeAutospacing="1" w:after="75" w:line="240" w:lineRule="auto"/>
        <w:rPr>
          <w:rFonts w:ascii="Arial" w:hAnsi="Arial" w:cs="Arial"/>
          <w:sz w:val="28"/>
          <w:szCs w:val="28"/>
        </w:rPr>
      </w:pPr>
      <w:r w:rsidRPr="00D718F9">
        <w:rPr>
          <w:rStyle w:val="Strong"/>
          <w:rFonts w:ascii="Arial" w:hAnsi="Arial" w:cs="Arial"/>
          <w:sz w:val="28"/>
          <w:szCs w:val="28"/>
        </w:rPr>
        <w:t>Business Entity Concept</w:t>
      </w:r>
      <w:r w:rsidRPr="00D718F9">
        <w:rPr>
          <w:rFonts w:ascii="Arial" w:hAnsi="Arial" w:cs="Arial"/>
          <w:sz w:val="28"/>
          <w:szCs w:val="28"/>
        </w:rPr>
        <w:t>: The concept of business entity says that a business is a separate entity from its owners. Therefore, for the </w:t>
      </w:r>
      <w:hyperlink r:id="rId10" w:tgtFrame="_blank" w:history="1">
        <w:r w:rsidRPr="00D718F9">
          <w:rPr>
            <w:rStyle w:val="Hyperlink"/>
            <w:rFonts w:ascii="Arial" w:hAnsi="Arial" w:cs="Arial"/>
            <w:color w:val="auto"/>
            <w:sz w:val="28"/>
            <w:szCs w:val="28"/>
            <w:u w:val="none"/>
          </w:rPr>
          <w:t>objective of accounting</w:t>
        </w:r>
      </w:hyperlink>
      <w:r w:rsidRPr="00D718F9">
        <w:rPr>
          <w:rFonts w:ascii="Arial" w:hAnsi="Arial" w:cs="Arial"/>
          <w:sz w:val="28"/>
          <w:szCs w:val="28"/>
        </w:rPr>
        <w:t>, the firm and its owners are considered as 2 distinct persons. Hence, when an owner brings in capital into the firm, it is considered as a liability of the business.</w:t>
      </w:r>
    </w:p>
    <w:p w:rsidR="00D718F9" w:rsidRPr="00D718F9" w:rsidRDefault="00D718F9" w:rsidP="00D718F9">
      <w:pPr>
        <w:numPr>
          <w:ilvl w:val="0"/>
          <w:numId w:val="3"/>
        </w:numPr>
        <w:shd w:val="clear" w:color="auto" w:fill="FFFFFF"/>
        <w:spacing w:before="100" w:beforeAutospacing="1" w:after="75" w:line="240" w:lineRule="auto"/>
        <w:rPr>
          <w:rFonts w:ascii="Arial" w:hAnsi="Arial" w:cs="Arial"/>
          <w:sz w:val="28"/>
          <w:szCs w:val="28"/>
        </w:rPr>
      </w:pPr>
      <w:r w:rsidRPr="00D718F9">
        <w:rPr>
          <w:rStyle w:val="Strong"/>
          <w:rFonts w:ascii="Arial" w:hAnsi="Arial" w:cs="Arial"/>
          <w:sz w:val="28"/>
          <w:szCs w:val="28"/>
        </w:rPr>
        <w:t>Money Measurement Concept</w:t>
      </w:r>
      <w:r w:rsidRPr="00D718F9">
        <w:rPr>
          <w:rFonts w:ascii="Arial" w:hAnsi="Arial" w:cs="Arial"/>
          <w:sz w:val="28"/>
          <w:szCs w:val="28"/>
        </w:rPr>
        <w:t>: The concept of money measurement associates to such transactions of a business, which can be recorded in terms of money in the books of accounts. The records are to be kept in monetary units alone and not in physical. All the assets are consequently shown in monetary terms for accounting purposes.</w:t>
      </w:r>
    </w:p>
    <w:p w:rsidR="00D718F9" w:rsidRPr="00D718F9" w:rsidRDefault="00D718F9" w:rsidP="00D718F9">
      <w:pPr>
        <w:numPr>
          <w:ilvl w:val="0"/>
          <w:numId w:val="3"/>
        </w:numPr>
        <w:shd w:val="clear" w:color="auto" w:fill="FFFFFF"/>
        <w:spacing w:before="100" w:beforeAutospacing="1" w:after="75" w:line="240" w:lineRule="auto"/>
        <w:rPr>
          <w:rFonts w:ascii="Arial" w:hAnsi="Arial" w:cs="Arial"/>
          <w:sz w:val="28"/>
          <w:szCs w:val="28"/>
        </w:rPr>
      </w:pPr>
      <w:r w:rsidRPr="00D718F9">
        <w:rPr>
          <w:rStyle w:val="Strong"/>
          <w:rFonts w:ascii="Arial" w:hAnsi="Arial" w:cs="Arial"/>
          <w:sz w:val="28"/>
          <w:szCs w:val="28"/>
        </w:rPr>
        <w:t>Going Concern Concept</w:t>
      </w:r>
      <w:r w:rsidRPr="00D718F9">
        <w:rPr>
          <w:rFonts w:ascii="Arial" w:hAnsi="Arial" w:cs="Arial"/>
          <w:sz w:val="28"/>
          <w:szCs w:val="28"/>
        </w:rPr>
        <w:t>: Going concern concept says that a firm will take on its business for an unlimited period of time and would not be converted into cash at any pre-decided timeframe.</w:t>
      </w:r>
    </w:p>
    <w:p w:rsidR="00D718F9" w:rsidRPr="00D718F9" w:rsidRDefault="00D718F9" w:rsidP="00D718F9">
      <w:pPr>
        <w:numPr>
          <w:ilvl w:val="0"/>
          <w:numId w:val="3"/>
        </w:numPr>
        <w:shd w:val="clear" w:color="auto" w:fill="FFFFFF"/>
        <w:spacing w:before="100" w:beforeAutospacing="1" w:after="75" w:line="240" w:lineRule="auto"/>
        <w:rPr>
          <w:rFonts w:ascii="Arial" w:hAnsi="Arial" w:cs="Arial"/>
          <w:sz w:val="28"/>
          <w:szCs w:val="28"/>
        </w:rPr>
      </w:pPr>
      <w:r w:rsidRPr="00D718F9">
        <w:rPr>
          <w:rStyle w:val="Strong"/>
          <w:rFonts w:ascii="Arial" w:hAnsi="Arial" w:cs="Arial"/>
          <w:sz w:val="28"/>
          <w:szCs w:val="28"/>
        </w:rPr>
        <w:t>Accounting Period Concept</w:t>
      </w:r>
      <w:r w:rsidRPr="00D718F9">
        <w:rPr>
          <w:rFonts w:ascii="Arial" w:hAnsi="Arial" w:cs="Arial"/>
          <w:sz w:val="28"/>
          <w:szCs w:val="28"/>
        </w:rPr>
        <w:t>: Accounting period is the timeframe at the end of which, the </w:t>
      </w:r>
      <w:hyperlink r:id="rId11" w:tgtFrame="_blank" w:history="1">
        <w:r w:rsidRPr="00D718F9">
          <w:rPr>
            <w:rStyle w:val="Hyperlink"/>
            <w:rFonts w:ascii="Arial" w:hAnsi="Arial" w:cs="Arial"/>
            <w:color w:val="auto"/>
            <w:sz w:val="28"/>
            <w:szCs w:val="28"/>
          </w:rPr>
          <w:t>financial statements</w:t>
        </w:r>
      </w:hyperlink>
      <w:r w:rsidRPr="00D718F9">
        <w:rPr>
          <w:rFonts w:ascii="Arial" w:hAnsi="Arial" w:cs="Arial"/>
          <w:sz w:val="28"/>
          <w:szCs w:val="28"/>
        </w:rPr>
        <w:t> of a business are prepared, to evaluate its profits and losses, and to learn the status of its assets and liabilities. This is required for the smooth availability of data to the users of the accounting information in a convenient manner.</w:t>
      </w:r>
    </w:p>
    <w:p w:rsidR="00D718F9" w:rsidRPr="00D718F9" w:rsidRDefault="00D718F9" w:rsidP="00D718F9">
      <w:pPr>
        <w:numPr>
          <w:ilvl w:val="0"/>
          <w:numId w:val="3"/>
        </w:numPr>
        <w:shd w:val="clear" w:color="auto" w:fill="FFFFFF"/>
        <w:spacing w:before="100" w:beforeAutospacing="1" w:after="75" w:line="240" w:lineRule="auto"/>
        <w:rPr>
          <w:rFonts w:ascii="Arial" w:hAnsi="Arial" w:cs="Arial"/>
          <w:sz w:val="28"/>
          <w:szCs w:val="28"/>
        </w:rPr>
      </w:pPr>
      <w:r w:rsidRPr="00D718F9">
        <w:rPr>
          <w:rStyle w:val="Strong"/>
          <w:rFonts w:ascii="Arial" w:hAnsi="Arial" w:cs="Arial"/>
          <w:sz w:val="28"/>
          <w:szCs w:val="28"/>
        </w:rPr>
        <w:t>Cost Concept</w:t>
      </w:r>
      <w:r w:rsidRPr="00D718F9">
        <w:rPr>
          <w:rFonts w:ascii="Arial" w:hAnsi="Arial" w:cs="Arial"/>
          <w:sz w:val="28"/>
          <w:szCs w:val="28"/>
        </w:rPr>
        <w:t xml:space="preserve">: Cost concept requires that all the assets must be recorded in the books of accounts at the price at which they were bought, which involves the cost incurred for transportation, installation and acquisition. The cost concept is traditional in nature </w:t>
      </w:r>
      <w:r w:rsidRPr="00D718F9">
        <w:rPr>
          <w:rFonts w:ascii="Arial" w:hAnsi="Arial" w:cs="Arial"/>
          <w:sz w:val="28"/>
          <w:szCs w:val="28"/>
        </w:rPr>
        <w:lastRenderedPageBreak/>
        <w:t>as a particular amount concerning the asset is paid on the date of purchase and does not change year after year.</w:t>
      </w:r>
    </w:p>
    <w:p w:rsidR="00D718F9" w:rsidRPr="00D718F9" w:rsidRDefault="00D718F9" w:rsidP="00D718F9">
      <w:pPr>
        <w:pStyle w:val="Heading2"/>
        <w:shd w:val="clear" w:color="auto" w:fill="FFFFFF"/>
        <w:spacing w:before="300" w:after="150" w:line="480" w:lineRule="atLeast"/>
        <w:rPr>
          <w:rFonts w:ascii="Arial" w:hAnsi="Arial" w:cs="Arial"/>
          <w:color w:val="auto"/>
          <w:sz w:val="28"/>
          <w:szCs w:val="28"/>
        </w:rPr>
      </w:pPr>
      <w:r w:rsidRPr="00D718F9">
        <w:rPr>
          <w:rFonts w:ascii="Arial" w:hAnsi="Arial" w:cs="Arial"/>
          <w:color w:val="auto"/>
          <w:sz w:val="28"/>
          <w:szCs w:val="28"/>
        </w:rPr>
        <w:t>Fundamental Accounting Assumption:</w:t>
      </w:r>
    </w:p>
    <w:p w:rsidR="00D718F9" w:rsidRPr="00D718F9" w:rsidRDefault="00D718F9" w:rsidP="00D718F9">
      <w:pPr>
        <w:numPr>
          <w:ilvl w:val="0"/>
          <w:numId w:val="5"/>
        </w:numPr>
        <w:shd w:val="clear" w:color="auto" w:fill="FFFFFF"/>
        <w:spacing w:before="100" w:beforeAutospacing="1" w:after="75" w:line="240" w:lineRule="auto"/>
        <w:rPr>
          <w:rFonts w:ascii="Arial" w:hAnsi="Arial" w:cs="Arial"/>
          <w:sz w:val="28"/>
          <w:szCs w:val="28"/>
        </w:rPr>
      </w:pPr>
      <w:r w:rsidRPr="00D718F9">
        <w:rPr>
          <w:rFonts w:ascii="Arial" w:hAnsi="Arial" w:cs="Arial"/>
          <w:sz w:val="28"/>
          <w:szCs w:val="28"/>
        </w:rPr>
        <w:t>Fundamental accounting assumptions are the assumptions which are presumed to have been followed while preparing the books of accounts.</w:t>
      </w:r>
    </w:p>
    <w:p w:rsidR="00D718F9" w:rsidRPr="00D718F9" w:rsidRDefault="00D718F9" w:rsidP="00D718F9">
      <w:pPr>
        <w:numPr>
          <w:ilvl w:val="0"/>
          <w:numId w:val="5"/>
        </w:numPr>
        <w:shd w:val="clear" w:color="auto" w:fill="FFFFFF"/>
        <w:spacing w:before="100" w:beforeAutospacing="1" w:after="75" w:line="240" w:lineRule="auto"/>
        <w:rPr>
          <w:rFonts w:ascii="Arial" w:hAnsi="Arial" w:cs="Arial"/>
          <w:sz w:val="28"/>
          <w:szCs w:val="28"/>
        </w:rPr>
      </w:pPr>
      <w:r w:rsidRPr="00D718F9">
        <w:rPr>
          <w:rFonts w:ascii="Arial" w:hAnsi="Arial" w:cs="Arial"/>
          <w:sz w:val="28"/>
          <w:szCs w:val="28"/>
        </w:rPr>
        <w:t>If they are not followed, then reasons should be disclosed for not following them.</w:t>
      </w:r>
    </w:p>
    <w:p w:rsidR="00D718F9" w:rsidRPr="00D718F9" w:rsidRDefault="00D718F9" w:rsidP="00D718F9">
      <w:pPr>
        <w:pStyle w:val="NormalWeb"/>
        <w:shd w:val="clear" w:color="auto" w:fill="FFFFFF"/>
        <w:spacing w:before="0" w:beforeAutospacing="0" w:after="240" w:afterAutospacing="0" w:line="360" w:lineRule="atLeast"/>
        <w:rPr>
          <w:rFonts w:ascii="Arial" w:hAnsi="Arial" w:cs="Arial"/>
          <w:sz w:val="28"/>
          <w:szCs w:val="28"/>
        </w:rPr>
      </w:pPr>
      <w:r w:rsidRPr="00D718F9">
        <w:rPr>
          <w:rFonts w:ascii="Arial" w:hAnsi="Arial" w:cs="Arial"/>
          <w:sz w:val="28"/>
          <w:szCs w:val="28"/>
        </w:rPr>
        <w:t>There are 3 basic Accounting Assumptions:</w:t>
      </w:r>
    </w:p>
    <w:p w:rsidR="00D718F9" w:rsidRPr="00D718F9" w:rsidRDefault="00D718F9" w:rsidP="00D718F9">
      <w:pPr>
        <w:pStyle w:val="Heading3"/>
        <w:shd w:val="clear" w:color="auto" w:fill="FFFFFF"/>
        <w:spacing w:before="300" w:after="150" w:line="420" w:lineRule="atLeast"/>
        <w:rPr>
          <w:rFonts w:ascii="Arial" w:hAnsi="Arial" w:cs="Arial"/>
          <w:color w:val="auto"/>
          <w:sz w:val="28"/>
          <w:szCs w:val="28"/>
        </w:rPr>
      </w:pPr>
      <w:r w:rsidRPr="00D718F9">
        <w:rPr>
          <w:rFonts w:ascii="Arial" w:hAnsi="Arial" w:cs="Arial"/>
          <w:color w:val="auto"/>
          <w:sz w:val="28"/>
          <w:szCs w:val="28"/>
        </w:rPr>
        <w:t>Going Concern Assumption</w:t>
      </w:r>
    </w:p>
    <w:p w:rsidR="00D718F9" w:rsidRPr="00D718F9" w:rsidRDefault="00D718F9" w:rsidP="00D718F9">
      <w:pPr>
        <w:numPr>
          <w:ilvl w:val="0"/>
          <w:numId w:val="6"/>
        </w:numPr>
        <w:shd w:val="clear" w:color="auto" w:fill="FFFFFF"/>
        <w:spacing w:before="100" w:beforeAutospacing="1" w:after="75" w:line="240" w:lineRule="auto"/>
        <w:rPr>
          <w:rFonts w:ascii="Arial" w:hAnsi="Arial" w:cs="Arial"/>
          <w:sz w:val="28"/>
          <w:szCs w:val="28"/>
        </w:rPr>
      </w:pPr>
      <w:r w:rsidRPr="00D718F9">
        <w:rPr>
          <w:rFonts w:ascii="Arial" w:hAnsi="Arial" w:cs="Arial"/>
          <w:sz w:val="28"/>
          <w:szCs w:val="28"/>
        </w:rPr>
        <w:t>The concept of going concern assumes that a business firm would continue and carry out its operations for a foreseeable future.</w:t>
      </w:r>
    </w:p>
    <w:p w:rsidR="00D718F9" w:rsidRPr="00D718F9" w:rsidRDefault="00D718F9" w:rsidP="00D718F9">
      <w:pPr>
        <w:numPr>
          <w:ilvl w:val="0"/>
          <w:numId w:val="6"/>
        </w:numPr>
        <w:shd w:val="clear" w:color="auto" w:fill="FFFFFF"/>
        <w:spacing w:before="100" w:beforeAutospacing="1" w:after="75" w:line="240" w:lineRule="auto"/>
        <w:rPr>
          <w:rFonts w:ascii="Arial" w:hAnsi="Arial" w:cs="Arial"/>
          <w:sz w:val="28"/>
          <w:szCs w:val="28"/>
        </w:rPr>
      </w:pPr>
      <w:r w:rsidRPr="00D718F9">
        <w:rPr>
          <w:rFonts w:ascii="Arial" w:hAnsi="Arial" w:cs="Arial"/>
          <w:sz w:val="28"/>
          <w:szCs w:val="28"/>
        </w:rPr>
        <w:t>There is no intention to close down the business, not any necessity to scale down its business activities.</w:t>
      </w:r>
    </w:p>
    <w:p w:rsidR="00D718F9" w:rsidRPr="00D718F9" w:rsidRDefault="00D718F9" w:rsidP="00D718F9">
      <w:pPr>
        <w:numPr>
          <w:ilvl w:val="0"/>
          <w:numId w:val="6"/>
        </w:numPr>
        <w:shd w:val="clear" w:color="auto" w:fill="FFFFFF"/>
        <w:spacing w:before="100" w:beforeAutospacing="1" w:after="75" w:line="240" w:lineRule="auto"/>
        <w:rPr>
          <w:rFonts w:ascii="Arial" w:hAnsi="Arial" w:cs="Arial"/>
          <w:sz w:val="28"/>
          <w:szCs w:val="28"/>
        </w:rPr>
      </w:pPr>
      <w:r w:rsidRPr="00D718F9">
        <w:rPr>
          <w:rFonts w:ascii="Arial" w:hAnsi="Arial" w:cs="Arial"/>
          <w:sz w:val="28"/>
          <w:szCs w:val="28"/>
        </w:rPr>
        <w:t>The business firm will not dissolve until it is required by the law.</w:t>
      </w:r>
    </w:p>
    <w:p w:rsidR="00D718F9" w:rsidRPr="00D718F9" w:rsidRDefault="00D718F9" w:rsidP="00D718F9">
      <w:pPr>
        <w:numPr>
          <w:ilvl w:val="0"/>
          <w:numId w:val="6"/>
        </w:numPr>
        <w:shd w:val="clear" w:color="auto" w:fill="FFFFFF"/>
        <w:spacing w:before="100" w:beforeAutospacing="1" w:after="75" w:line="240" w:lineRule="auto"/>
        <w:rPr>
          <w:rFonts w:ascii="Arial" w:hAnsi="Arial" w:cs="Arial"/>
          <w:sz w:val="28"/>
          <w:szCs w:val="28"/>
        </w:rPr>
      </w:pPr>
      <w:r w:rsidRPr="00D718F9">
        <w:rPr>
          <w:rFonts w:ascii="Arial" w:hAnsi="Arial" w:cs="Arial"/>
          <w:sz w:val="28"/>
          <w:szCs w:val="28"/>
        </w:rPr>
        <w:t>Because of this difference between capital expenditure (gives long term benefit to the business) and revenue expenditure (its benefit is taken in the same accounting year) is made.</w:t>
      </w:r>
    </w:p>
    <w:p w:rsidR="00D718F9" w:rsidRPr="00D718F9" w:rsidRDefault="00D718F9" w:rsidP="00D718F9">
      <w:pPr>
        <w:numPr>
          <w:ilvl w:val="0"/>
          <w:numId w:val="6"/>
        </w:numPr>
        <w:shd w:val="clear" w:color="auto" w:fill="FFFFFF"/>
        <w:spacing w:before="100" w:beforeAutospacing="1" w:after="75" w:line="240" w:lineRule="auto"/>
        <w:rPr>
          <w:rFonts w:ascii="Arial" w:hAnsi="Arial" w:cs="Arial"/>
          <w:sz w:val="28"/>
          <w:szCs w:val="28"/>
        </w:rPr>
      </w:pPr>
      <w:r w:rsidRPr="00D718F9">
        <w:rPr>
          <w:rFonts w:ascii="Arial" w:hAnsi="Arial" w:cs="Arial"/>
          <w:sz w:val="28"/>
          <w:szCs w:val="28"/>
        </w:rPr>
        <w:t>Example-if fixed asset is purchased, then its cost is spread over its useful life and its total cost is not treated as an expense in the year of purchase.</w:t>
      </w:r>
    </w:p>
    <w:p w:rsidR="00D718F9" w:rsidRPr="00D718F9" w:rsidRDefault="00D718F9" w:rsidP="00D718F9">
      <w:pPr>
        <w:pStyle w:val="Heading3"/>
        <w:shd w:val="clear" w:color="auto" w:fill="FFFFFF"/>
        <w:spacing w:before="300" w:after="150" w:line="420" w:lineRule="atLeast"/>
        <w:rPr>
          <w:rFonts w:ascii="Arial" w:hAnsi="Arial" w:cs="Arial"/>
          <w:color w:val="auto"/>
          <w:sz w:val="28"/>
          <w:szCs w:val="28"/>
        </w:rPr>
      </w:pPr>
      <w:r w:rsidRPr="00D718F9">
        <w:rPr>
          <w:rFonts w:ascii="Arial" w:hAnsi="Arial" w:cs="Arial"/>
          <w:color w:val="auto"/>
          <w:sz w:val="28"/>
          <w:szCs w:val="28"/>
        </w:rPr>
        <w:t>Consistency Assumption</w:t>
      </w:r>
    </w:p>
    <w:p w:rsidR="00D718F9" w:rsidRPr="00D718F9" w:rsidRDefault="00D718F9" w:rsidP="00D718F9">
      <w:pPr>
        <w:numPr>
          <w:ilvl w:val="0"/>
          <w:numId w:val="7"/>
        </w:numPr>
        <w:shd w:val="clear" w:color="auto" w:fill="FFFFFF"/>
        <w:spacing w:before="100" w:beforeAutospacing="1" w:after="75" w:line="240" w:lineRule="auto"/>
        <w:rPr>
          <w:rFonts w:ascii="Arial" w:hAnsi="Arial" w:cs="Arial"/>
          <w:sz w:val="28"/>
          <w:szCs w:val="28"/>
        </w:rPr>
      </w:pPr>
      <w:r w:rsidRPr="00D718F9">
        <w:rPr>
          <w:rFonts w:ascii="Arial" w:hAnsi="Arial" w:cs="Arial"/>
          <w:sz w:val="28"/>
          <w:szCs w:val="28"/>
        </w:rPr>
        <w:t>According to this assumption, accounting policies and practices once selected and adopted are followed every year.</w:t>
      </w:r>
    </w:p>
    <w:p w:rsidR="00D718F9" w:rsidRPr="00D718F9" w:rsidRDefault="00D718F9" w:rsidP="00D718F9">
      <w:pPr>
        <w:numPr>
          <w:ilvl w:val="0"/>
          <w:numId w:val="7"/>
        </w:numPr>
        <w:shd w:val="clear" w:color="auto" w:fill="FFFFFF"/>
        <w:spacing w:before="100" w:beforeAutospacing="1" w:after="75" w:line="240" w:lineRule="auto"/>
        <w:rPr>
          <w:rFonts w:ascii="Arial" w:hAnsi="Arial" w:cs="Arial"/>
          <w:sz w:val="28"/>
          <w:szCs w:val="28"/>
        </w:rPr>
      </w:pPr>
      <w:r w:rsidRPr="00D718F9">
        <w:rPr>
          <w:rFonts w:ascii="Arial" w:hAnsi="Arial" w:cs="Arial"/>
          <w:sz w:val="28"/>
          <w:szCs w:val="28"/>
        </w:rPr>
        <w:t>They should be applied consistently over the period of time.</w:t>
      </w:r>
    </w:p>
    <w:p w:rsidR="00D718F9" w:rsidRPr="00D718F9" w:rsidRDefault="00D718F9" w:rsidP="00D718F9">
      <w:pPr>
        <w:numPr>
          <w:ilvl w:val="0"/>
          <w:numId w:val="7"/>
        </w:numPr>
        <w:shd w:val="clear" w:color="auto" w:fill="FFFFFF"/>
        <w:spacing w:before="100" w:beforeAutospacing="1" w:after="75" w:line="240" w:lineRule="auto"/>
        <w:rPr>
          <w:rFonts w:ascii="Arial" w:hAnsi="Arial" w:cs="Arial"/>
          <w:sz w:val="28"/>
          <w:szCs w:val="28"/>
        </w:rPr>
      </w:pPr>
      <w:r w:rsidRPr="00D718F9">
        <w:rPr>
          <w:rFonts w:ascii="Arial" w:hAnsi="Arial" w:cs="Arial"/>
          <w:sz w:val="28"/>
          <w:szCs w:val="28"/>
        </w:rPr>
        <w:t>It helps in the comparative study of financial statement of the current year with that of the previous year.</w:t>
      </w:r>
    </w:p>
    <w:p w:rsidR="00D718F9" w:rsidRPr="00D718F9" w:rsidRDefault="00D718F9" w:rsidP="00D718F9">
      <w:pPr>
        <w:numPr>
          <w:ilvl w:val="0"/>
          <w:numId w:val="7"/>
        </w:numPr>
        <w:shd w:val="clear" w:color="auto" w:fill="FFFFFF"/>
        <w:spacing w:before="100" w:beforeAutospacing="1" w:after="75" w:line="240" w:lineRule="auto"/>
        <w:rPr>
          <w:rFonts w:ascii="Arial" w:hAnsi="Arial" w:cs="Arial"/>
          <w:sz w:val="28"/>
          <w:szCs w:val="28"/>
        </w:rPr>
      </w:pPr>
      <w:r w:rsidRPr="00D718F9">
        <w:rPr>
          <w:rFonts w:ascii="Arial" w:hAnsi="Arial" w:cs="Arial"/>
          <w:sz w:val="28"/>
          <w:szCs w:val="28"/>
        </w:rPr>
        <w:t>It eliminates the factor of personal bias.</w:t>
      </w:r>
    </w:p>
    <w:p w:rsidR="00D718F9" w:rsidRPr="00D718F9" w:rsidRDefault="00D718F9" w:rsidP="00D718F9">
      <w:pPr>
        <w:numPr>
          <w:ilvl w:val="0"/>
          <w:numId w:val="7"/>
        </w:numPr>
        <w:shd w:val="clear" w:color="auto" w:fill="FFFFFF"/>
        <w:spacing w:before="100" w:beforeAutospacing="1" w:after="75" w:line="240" w:lineRule="auto"/>
        <w:rPr>
          <w:rFonts w:ascii="Arial" w:hAnsi="Arial" w:cs="Arial"/>
          <w:sz w:val="28"/>
          <w:szCs w:val="28"/>
        </w:rPr>
      </w:pPr>
      <w:r w:rsidRPr="00D718F9">
        <w:rPr>
          <w:rFonts w:ascii="Arial" w:hAnsi="Arial" w:cs="Arial"/>
          <w:sz w:val="28"/>
          <w:szCs w:val="28"/>
        </w:rPr>
        <w:t>Previous policies can be changed if:</w:t>
      </w:r>
    </w:p>
    <w:p w:rsidR="00D718F9" w:rsidRPr="00D718F9" w:rsidRDefault="00D718F9" w:rsidP="00D718F9">
      <w:pPr>
        <w:numPr>
          <w:ilvl w:val="1"/>
          <w:numId w:val="8"/>
        </w:numPr>
        <w:shd w:val="clear" w:color="auto" w:fill="FFFFFF"/>
        <w:spacing w:before="100" w:beforeAutospacing="1" w:after="75" w:line="240" w:lineRule="auto"/>
        <w:rPr>
          <w:rFonts w:ascii="Arial" w:hAnsi="Arial" w:cs="Arial"/>
          <w:sz w:val="28"/>
          <w:szCs w:val="28"/>
        </w:rPr>
      </w:pPr>
      <w:r w:rsidRPr="00D718F9">
        <w:rPr>
          <w:rFonts w:ascii="Arial" w:hAnsi="Arial" w:cs="Arial"/>
          <w:sz w:val="28"/>
          <w:szCs w:val="28"/>
        </w:rPr>
        <w:t>Required by law or accounting standards</w:t>
      </w:r>
    </w:p>
    <w:p w:rsidR="00D718F9" w:rsidRPr="00D718F9" w:rsidRDefault="00D718F9" w:rsidP="00D718F9">
      <w:pPr>
        <w:numPr>
          <w:ilvl w:val="1"/>
          <w:numId w:val="8"/>
        </w:numPr>
        <w:shd w:val="clear" w:color="auto" w:fill="FFFFFF"/>
        <w:spacing w:before="100" w:beforeAutospacing="1" w:after="75" w:line="240" w:lineRule="auto"/>
        <w:rPr>
          <w:rFonts w:ascii="Arial" w:hAnsi="Arial" w:cs="Arial"/>
          <w:sz w:val="28"/>
          <w:szCs w:val="28"/>
        </w:rPr>
      </w:pPr>
      <w:r w:rsidRPr="00D718F9">
        <w:rPr>
          <w:rFonts w:ascii="Arial" w:hAnsi="Arial" w:cs="Arial"/>
          <w:sz w:val="28"/>
          <w:szCs w:val="28"/>
        </w:rPr>
        <w:t>It will result in a more meaningful presentation.</w:t>
      </w:r>
    </w:p>
    <w:p w:rsidR="00D718F9" w:rsidRPr="00D718F9" w:rsidRDefault="00D718F9" w:rsidP="00D718F9">
      <w:pPr>
        <w:numPr>
          <w:ilvl w:val="0"/>
          <w:numId w:val="8"/>
        </w:numPr>
        <w:shd w:val="clear" w:color="auto" w:fill="FFFFFF"/>
        <w:spacing w:before="100" w:beforeAutospacing="1" w:after="75" w:line="240" w:lineRule="auto"/>
        <w:rPr>
          <w:rFonts w:ascii="Arial" w:hAnsi="Arial" w:cs="Arial"/>
          <w:sz w:val="28"/>
          <w:szCs w:val="28"/>
        </w:rPr>
      </w:pPr>
      <w:r w:rsidRPr="00D718F9">
        <w:rPr>
          <w:rFonts w:ascii="Arial" w:hAnsi="Arial" w:cs="Arial"/>
          <w:sz w:val="28"/>
          <w:szCs w:val="28"/>
        </w:rPr>
        <w:lastRenderedPageBreak/>
        <w:t>Changes should be disclosed.</w:t>
      </w:r>
    </w:p>
    <w:p w:rsidR="00D718F9" w:rsidRPr="00D718F9" w:rsidRDefault="00D718F9" w:rsidP="00D718F9">
      <w:pPr>
        <w:pStyle w:val="Heading3"/>
        <w:shd w:val="clear" w:color="auto" w:fill="FFFFFF"/>
        <w:spacing w:before="300" w:after="150" w:line="420" w:lineRule="atLeast"/>
        <w:rPr>
          <w:rFonts w:ascii="Arial" w:hAnsi="Arial" w:cs="Arial"/>
          <w:color w:val="auto"/>
          <w:sz w:val="28"/>
          <w:szCs w:val="28"/>
        </w:rPr>
      </w:pPr>
      <w:r w:rsidRPr="00D718F9">
        <w:rPr>
          <w:rFonts w:ascii="Arial" w:hAnsi="Arial" w:cs="Arial"/>
          <w:color w:val="auto"/>
          <w:sz w:val="28"/>
          <w:szCs w:val="28"/>
        </w:rPr>
        <w:t>Accrual Basis Assumption</w:t>
      </w:r>
    </w:p>
    <w:p w:rsidR="00D718F9" w:rsidRPr="00D718F9" w:rsidRDefault="00D718F9" w:rsidP="00D718F9">
      <w:pPr>
        <w:numPr>
          <w:ilvl w:val="0"/>
          <w:numId w:val="9"/>
        </w:numPr>
        <w:shd w:val="clear" w:color="auto" w:fill="FFFFFF"/>
        <w:spacing w:before="100" w:beforeAutospacing="1" w:after="75" w:line="240" w:lineRule="auto"/>
        <w:rPr>
          <w:rFonts w:ascii="Arial" w:hAnsi="Arial" w:cs="Arial"/>
          <w:sz w:val="28"/>
          <w:szCs w:val="28"/>
        </w:rPr>
      </w:pPr>
      <w:r w:rsidRPr="00D718F9">
        <w:rPr>
          <w:rFonts w:ascii="Arial" w:hAnsi="Arial" w:cs="Arial"/>
          <w:sz w:val="28"/>
          <w:szCs w:val="28"/>
        </w:rPr>
        <w:t>Revenue and expenses are recognised in the period in which they occur rather than when they are received or paid.</w:t>
      </w:r>
    </w:p>
    <w:p w:rsidR="00D718F9" w:rsidRPr="00D718F9" w:rsidRDefault="00D718F9" w:rsidP="00D718F9">
      <w:pPr>
        <w:numPr>
          <w:ilvl w:val="0"/>
          <w:numId w:val="9"/>
        </w:numPr>
        <w:shd w:val="clear" w:color="auto" w:fill="FFFFFF"/>
        <w:spacing w:before="100" w:beforeAutospacing="1" w:after="75" w:line="240" w:lineRule="auto"/>
        <w:rPr>
          <w:rFonts w:ascii="Arial" w:hAnsi="Arial" w:cs="Arial"/>
          <w:sz w:val="28"/>
          <w:szCs w:val="28"/>
        </w:rPr>
      </w:pPr>
      <w:r w:rsidRPr="00D718F9">
        <w:rPr>
          <w:rFonts w:ascii="Arial" w:hAnsi="Arial" w:cs="Arial"/>
          <w:sz w:val="28"/>
          <w:szCs w:val="28"/>
        </w:rPr>
        <w:t>It is an important concept because it recognises the assets, liabilities, incomes and expenses only when transactions related to it are entered into.</w:t>
      </w:r>
    </w:p>
    <w:p w:rsidR="00D718F9" w:rsidRPr="00D718F9" w:rsidRDefault="00D718F9" w:rsidP="00D718F9">
      <w:pPr>
        <w:numPr>
          <w:ilvl w:val="0"/>
          <w:numId w:val="9"/>
        </w:numPr>
        <w:shd w:val="clear" w:color="auto" w:fill="FFFFFF"/>
        <w:spacing w:before="100" w:beforeAutospacing="1" w:after="75" w:line="240" w:lineRule="auto"/>
        <w:rPr>
          <w:rFonts w:ascii="Arial" w:hAnsi="Arial" w:cs="Arial"/>
          <w:sz w:val="28"/>
          <w:szCs w:val="28"/>
        </w:rPr>
      </w:pPr>
      <w:r w:rsidRPr="00D718F9">
        <w:rPr>
          <w:rFonts w:ascii="Arial" w:hAnsi="Arial" w:cs="Arial"/>
          <w:sz w:val="28"/>
          <w:szCs w:val="28"/>
        </w:rPr>
        <w:t>Profit is recognised when the sale of goods &amp; services has been made, and obligation is transferred to the customer to pay in return.</w:t>
      </w:r>
    </w:p>
    <w:p w:rsidR="00D718F9" w:rsidRPr="00D718F9" w:rsidRDefault="00D718F9" w:rsidP="00D718F9">
      <w:pPr>
        <w:numPr>
          <w:ilvl w:val="0"/>
          <w:numId w:val="9"/>
        </w:numPr>
        <w:shd w:val="clear" w:color="auto" w:fill="FFFFFF"/>
        <w:spacing w:before="100" w:beforeAutospacing="1" w:after="75" w:line="240" w:lineRule="auto"/>
        <w:rPr>
          <w:rFonts w:ascii="Arial" w:hAnsi="Arial" w:cs="Arial"/>
          <w:sz w:val="28"/>
          <w:szCs w:val="28"/>
        </w:rPr>
      </w:pPr>
      <w:r w:rsidRPr="00D718F9">
        <w:rPr>
          <w:rFonts w:ascii="Arial" w:hAnsi="Arial" w:cs="Arial"/>
          <w:sz w:val="28"/>
          <w:szCs w:val="28"/>
        </w:rPr>
        <w:t>Similarly, Expense is also recognised when goods and services are purchased, and obligation is created to pay for them.</w:t>
      </w:r>
    </w:p>
    <w:p w:rsidR="00D718F9" w:rsidRPr="00D718F9" w:rsidRDefault="00D718F9" w:rsidP="00D718F9">
      <w:pPr>
        <w:numPr>
          <w:ilvl w:val="0"/>
          <w:numId w:val="9"/>
        </w:numPr>
        <w:shd w:val="clear" w:color="auto" w:fill="FFFFFF"/>
        <w:spacing w:before="100" w:beforeAutospacing="1" w:after="75" w:line="240" w:lineRule="auto"/>
        <w:rPr>
          <w:rFonts w:ascii="Arial" w:hAnsi="Arial" w:cs="Arial"/>
          <w:sz w:val="28"/>
          <w:szCs w:val="28"/>
        </w:rPr>
      </w:pPr>
    </w:p>
    <w:tbl>
      <w:tblPr>
        <w:tblW w:w="9875" w:type="dxa"/>
        <w:tblCellSpacing w:w="15" w:type="dxa"/>
        <w:tblBorders>
          <w:top w:val="single" w:sz="2" w:space="0" w:color="444444"/>
          <w:left w:val="single" w:sz="2" w:space="0" w:color="444444"/>
          <w:bottom w:val="single" w:sz="2" w:space="0" w:color="444444"/>
          <w:right w:val="single" w:sz="2" w:space="0" w:color="444444"/>
        </w:tblBorders>
        <w:shd w:val="clear" w:color="auto" w:fill="F1EDFF"/>
        <w:tblCellMar>
          <w:top w:w="15" w:type="dxa"/>
          <w:left w:w="15" w:type="dxa"/>
          <w:bottom w:w="15" w:type="dxa"/>
          <w:right w:w="15" w:type="dxa"/>
        </w:tblCellMar>
        <w:tblLook w:val="04A0"/>
      </w:tblPr>
      <w:tblGrid>
        <w:gridCol w:w="9875"/>
      </w:tblGrid>
      <w:tr w:rsidR="00D718F9" w:rsidRPr="00D718F9" w:rsidTr="00D718F9">
        <w:trPr>
          <w:tblCellSpacing w:w="15" w:type="dxa"/>
        </w:trPr>
        <w:tc>
          <w:tcPr>
            <w:tcW w:w="9815" w:type="dxa"/>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rsidR="00D718F9" w:rsidRPr="00D718F9" w:rsidRDefault="00D718F9">
            <w:pPr>
              <w:spacing w:after="300"/>
              <w:rPr>
                <w:rFonts w:ascii="Arial" w:hAnsi="Arial" w:cs="Arial"/>
                <w:sz w:val="28"/>
                <w:szCs w:val="28"/>
              </w:rPr>
            </w:pPr>
            <w:r w:rsidRPr="00D718F9">
              <w:rPr>
                <w:rStyle w:val="Strong"/>
                <w:rFonts w:ascii="Arial" w:hAnsi="Arial" w:cs="Arial"/>
                <w:sz w:val="28"/>
                <w:szCs w:val="28"/>
              </w:rPr>
              <w:t>Multiple Choice Questions</w:t>
            </w:r>
          </w:p>
        </w:tc>
      </w:tr>
      <w:tr w:rsidR="00D718F9" w:rsidRPr="00D718F9" w:rsidTr="00D718F9">
        <w:trPr>
          <w:tblCellSpacing w:w="15" w:type="dxa"/>
        </w:trPr>
        <w:tc>
          <w:tcPr>
            <w:tcW w:w="9815" w:type="dxa"/>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rsidR="00D718F9" w:rsidRPr="00D718F9" w:rsidRDefault="00D718F9">
            <w:pPr>
              <w:spacing w:after="300"/>
              <w:rPr>
                <w:rFonts w:ascii="Arial" w:hAnsi="Arial" w:cs="Arial"/>
                <w:sz w:val="28"/>
                <w:szCs w:val="28"/>
              </w:rPr>
            </w:pPr>
            <w:r w:rsidRPr="00D718F9">
              <w:rPr>
                <w:rFonts w:ascii="Arial" w:hAnsi="Arial" w:cs="Arial"/>
                <w:sz w:val="28"/>
                <w:szCs w:val="28"/>
              </w:rPr>
              <w:t>Q.1- Which of the following is not fundamental accounting assumptions?</w:t>
            </w:r>
          </w:p>
        </w:tc>
      </w:tr>
      <w:tr w:rsidR="00D718F9" w:rsidRPr="00D718F9" w:rsidTr="00D718F9">
        <w:trPr>
          <w:tblCellSpacing w:w="15" w:type="dxa"/>
        </w:trPr>
        <w:tc>
          <w:tcPr>
            <w:tcW w:w="9815" w:type="dxa"/>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rsidR="00D718F9" w:rsidRPr="00D718F9" w:rsidRDefault="00D718F9">
            <w:pPr>
              <w:spacing w:after="300" w:line="240" w:lineRule="auto"/>
              <w:rPr>
                <w:rFonts w:ascii="Arial" w:hAnsi="Arial" w:cs="Arial"/>
                <w:sz w:val="28"/>
                <w:szCs w:val="28"/>
              </w:rPr>
            </w:pPr>
            <w:r w:rsidRPr="00D718F9">
              <w:rPr>
                <w:rFonts w:ascii="Arial" w:hAnsi="Arial" w:cs="Arial"/>
                <w:sz w:val="28"/>
                <w:szCs w:val="28"/>
              </w:rPr>
              <w:t>a. Going concern</w:t>
            </w:r>
          </w:p>
          <w:p w:rsidR="00D718F9" w:rsidRPr="00D718F9" w:rsidRDefault="00D718F9">
            <w:pPr>
              <w:pStyle w:val="NormalWeb"/>
              <w:spacing w:before="0" w:beforeAutospacing="0" w:after="150" w:afterAutospacing="0" w:line="360" w:lineRule="atLeast"/>
              <w:rPr>
                <w:rFonts w:ascii="Arial" w:hAnsi="Arial" w:cs="Arial"/>
                <w:sz w:val="28"/>
                <w:szCs w:val="28"/>
              </w:rPr>
            </w:pPr>
            <w:r w:rsidRPr="00D718F9">
              <w:rPr>
                <w:rFonts w:ascii="Arial" w:hAnsi="Arial" w:cs="Arial"/>
                <w:sz w:val="28"/>
                <w:szCs w:val="28"/>
              </w:rPr>
              <w:t>b. Consistency</w:t>
            </w:r>
          </w:p>
          <w:p w:rsidR="00D718F9" w:rsidRPr="00D718F9" w:rsidRDefault="00D718F9">
            <w:pPr>
              <w:pStyle w:val="NormalWeb"/>
              <w:spacing w:before="0" w:beforeAutospacing="0" w:after="150" w:afterAutospacing="0" w:line="360" w:lineRule="atLeast"/>
              <w:rPr>
                <w:rFonts w:ascii="Arial" w:hAnsi="Arial" w:cs="Arial"/>
                <w:sz w:val="28"/>
                <w:szCs w:val="28"/>
              </w:rPr>
            </w:pPr>
            <w:r w:rsidRPr="00D718F9">
              <w:rPr>
                <w:rFonts w:ascii="Arial" w:hAnsi="Arial" w:cs="Arial"/>
                <w:sz w:val="28"/>
                <w:szCs w:val="28"/>
              </w:rPr>
              <w:t>c. Accrual</w:t>
            </w:r>
          </w:p>
          <w:p w:rsidR="00D718F9" w:rsidRPr="00D718F9" w:rsidRDefault="00D718F9">
            <w:pPr>
              <w:pStyle w:val="NormalWeb"/>
              <w:spacing w:before="0" w:beforeAutospacing="0" w:after="0" w:afterAutospacing="0" w:line="360" w:lineRule="atLeast"/>
              <w:rPr>
                <w:rFonts w:ascii="Arial" w:hAnsi="Arial" w:cs="Arial"/>
                <w:sz w:val="28"/>
                <w:szCs w:val="28"/>
              </w:rPr>
            </w:pPr>
            <w:r w:rsidRPr="00D718F9">
              <w:rPr>
                <w:rFonts w:ascii="Arial" w:hAnsi="Arial" w:cs="Arial"/>
                <w:sz w:val="28"/>
                <w:szCs w:val="28"/>
              </w:rPr>
              <w:t>d. Business Entity</w:t>
            </w:r>
          </w:p>
        </w:tc>
      </w:tr>
      <w:tr w:rsidR="00D718F9" w:rsidRPr="00D718F9" w:rsidTr="00D718F9">
        <w:trPr>
          <w:tblCellSpacing w:w="15" w:type="dxa"/>
        </w:trPr>
        <w:tc>
          <w:tcPr>
            <w:tcW w:w="9815" w:type="dxa"/>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rsidR="00D718F9" w:rsidRPr="00D718F9" w:rsidRDefault="00D718F9">
            <w:pPr>
              <w:rPr>
                <w:rFonts w:ascii="Arial" w:hAnsi="Arial" w:cs="Arial"/>
                <w:sz w:val="28"/>
                <w:szCs w:val="28"/>
              </w:rPr>
            </w:pPr>
            <w:r w:rsidRPr="00D718F9">
              <w:rPr>
                <w:rFonts w:ascii="Arial" w:hAnsi="Arial" w:cs="Arial"/>
                <w:sz w:val="28"/>
                <w:szCs w:val="28"/>
              </w:rPr>
              <w:t>Q.2-_______ assumption means neither any intention to close down the business nor any necessity.</w:t>
            </w:r>
          </w:p>
        </w:tc>
      </w:tr>
      <w:tr w:rsidR="00D718F9" w:rsidRPr="00D718F9" w:rsidTr="00D718F9">
        <w:trPr>
          <w:tblCellSpacing w:w="15" w:type="dxa"/>
        </w:trPr>
        <w:tc>
          <w:tcPr>
            <w:tcW w:w="9815" w:type="dxa"/>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rsidR="00D718F9" w:rsidRPr="00D718F9" w:rsidRDefault="00D718F9">
            <w:pPr>
              <w:spacing w:line="240" w:lineRule="auto"/>
              <w:rPr>
                <w:rFonts w:ascii="Arial" w:hAnsi="Arial" w:cs="Arial"/>
                <w:sz w:val="28"/>
                <w:szCs w:val="28"/>
              </w:rPr>
            </w:pPr>
            <w:r w:rsidRPr="00D718F9">
              <w:rPr>
                <w:rFonts w:ascii="Arial" w:hAnsi="Arial" w:cs="Arial"/>
                <w:sz w:val="28"/>
                <w:szCs w:val="28"/>
              </w:rPr>
              <w:t>a. Accrual</w:t>
            </w:r>
          </w:p>
          <w:p w:rsidR="00D718F9" w:rsidRPr="00D718F9" w:rsidRDefault="00D718F9">
            <w:pPr>
              <w:pStyle w:val="NormalWeb"/>
              <w:spacing w:before="0" w:beforeAutospacing="0" w:after="150" w:afterAutospacing="0" w:line="360" w:lineRule="atLeast"/>
              <w:rPr>
                <w:rFonts w:ascii="Arial" w:hAnsi="Arial" w:cs="Arial"/>
                <w:sz w:val="28"/>
                <w:szCs w:val="28"/>
              </w:rPr>
            </w:pPr>
            <w:r w:rsidRPr="00D718F9">
              <w:rPr>
                <w:rFonts w:ascii="Arial" w:hAnsi="Arial" w:cs="Arial"/>
                <w:sz w:val="28"/>
                <w:szCs w:val="28"/>
              </w:rPr>
              <w:t>b. Going Concern</w:t>
            </w:r>
          </w:p>
          <w:p w:rsidR="00D718F9" w:rsidRPr="00D718F9" w:rsidRDefault="00D718F9">
            <w:pPr>
              <w:pStyle w:val="NormalWeb"/>
              <w:spacing w:before="0" w:beforeAutospacing="0" w:after="150" w:afterAutospacing="0" w:line="360" w:lineRule="atLeast"/>
              <w:rPr>
                <w:rFonts w:ascii="Arial" w:hAnsi="Arial" w:cs="Arial"/>
                <w:sz w:val="28"/>
                <w:szCs w:val="28"/>
              </w:rPr>
            </w:pPr>
            <w:r w:rsidRPr="00D718F9">
              <w:rPr>
                <w:rFonts w:ascii="Arial" w:hAnsi="Arial" w:cs="Arial"/>
                <w:sz w:val="28"/>
                <w:szCs w:val="28"/>
              </w:rPr>
              <w:t>c. Matching</w:t>
            </w:r>
          </w:p>
          <w:p w:rsidR="00D718F9" w:rsidRPr="00D718F9" w:rsidRDefault="00D718F9">
            <w:pPr>
              <w:pStyle w:val="NormalWeb"/>
              <w:spacing w:before="0" w:beforeAutospacing="0" w:after="0" w:afterAutospacing="0" w:line="360" w:lineRule="atLeast"/>
              <w:rPr>
                <w:rFonts w:ascii="Arial" w:hAnsi="Arial" w:cs="Arial"/>
                <w:sz w:val="28"/>
                <w:szCs w:val="28"/>
              </w:rPr>
            </w:pPr>
            <w:r w:rsidRPr="00D718F9">
              <w:rPr>
                <w:rFonts w:ascii="Arial" w:hAnsi="Arial" w:cs="Arial"/>
                <w:sz w:val="28"/>
                <w:szCs w:val="28"/>
              </w:rPr>
              <w:t>d. Consistency</w:t>
            </w:r>
          </w:p>
        </w:tc>
      </w:tr>
    </w:tbl>
    <w:p w:rsidR="00005D06" w:rsidRPr="00D718F9" w:rsidRDefault="00005D06" w:rsidP="00D718F9">
      <w:pPr>
        <w:rPr>
          <w:sz w:val="28"/>
          <w:szCs w:val="28"/>
        </w:rPr>
      </w:pPr>
    </w:p>
    <w:sectPr w:rsidR="00005D06" w:rsidRPr="00D718F9" w:rsidSect="00F43E35">
      <w:headerReference w:type="default" r:id="rId12"/>
      <w:pgSz w:w="11906" w:h="16838"/>
      <w:pgMar w:top="1440" w:right="1274"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CE2" w:rsidRDefault="00D54CE2" w:rsidP="0096512C">
      <w:pPr>
        <w:spacing w:after="0" w:line="240" w:lineRule="auto"/>
      </w:pPr>
      <w:r>
        <w:separator/>
      </w:r>
    </w:p>
  </w:endnote>
  <w:endnote w:type="continuationSeparator" w:id="1">
    <w:p w:rsidR="00D54CE2" w:rsidRDefault="00D54CE2" w:rsidP="00965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CE2" w:rsidRDefault="00D54CE2" w:rsidP="0096512C">
      <w:pPr>
        <w:spacing w:after="0" w:line="240" w:lineRule="auto"/>
      </w:pPr>
      <w:r>
        <w:separator/>
      </w:r>
    </w:p>
  </w:footnote>
  <w:footnote w:type="continuationSeparator" w:id="1">
    <w:p w:rsidR="00D54CE2" w:rsidRDefault="00D54CE2" w:rsidP="009651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3F" w:rsidRDefault="00DA623F">
    <w:pPr>
      <w:pStyle w:val="Header"/>
    </w:pPr>
  </w:p>
  <w:p w:rsidR="00DA623F" w:rsidRDefault="00DA623F">
    <w:pPr>
      <w:pStyle w:val="Header"/>
    </w:pPr>
  </w:p>
  <w:p w:rsidR="00DA623F" w:rsidRDefault="00DA623F">
    <w:pPr>
      <w:pStyle w:val="Header"/>
    </w:pPr>
  </w:p>
  <w:p w:rsidR="00DA623F" w:rsidRDefault="00DA623F">
    <w:pPr>
      <w:pStyle w:val="Header"/>
    </w:pPr>
  </w:p>
  <w:p w:rsidR="00DA623F" w:rsidRDefault="00DA623F">
    <w:pPr>
      <w:pStyle w:val="Header"/>
    </w:pPr>
  </w:p>
  <w:p w:rsidR="00DA623F" w:rsidRDefault="00DA62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6C25"/>
    <w:multiLevelType w:val="multilevel"/>
    <w:tmpl w:val="3F9EE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E5B39"/>
    <w:multiLevelType w:val="multilevel"/>
    <w:tmpl w:val="BD2C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A7CCC"/>
    <w:multiLevelType w:val="multilevel"/>
    <w:tmpl w:val="C358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1003A"/>
    <w:multiLevelType w:val="multilevel"/>
    <w:tmpl w:val="CE8A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16E6F"/>
    <w:multiLevelType w:val="multilevel"/>
    <w:tmpl w:val="AF46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58586D"/>
    <w:multiLevelType w:val="multilevel"/>
    <w:tmpl w:val="11F2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12100B"/>
    <w:multiLevelType w:val="hybridMultilevel"/>
    <w:tmpl w:val="7094686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664E7D1E"/>
    <w:multiLevelType w:val="multilevel"/>
    <w:tmpl w:val="64F69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7"/>
  </w:num>
  <w:num w:numId="8">
    <w:abstractNumId w:val="7"/>
    <w:lvlOverride w:ilvl="1">
      <w:lvl w:ilvl="1">
        <w:numFmt w:val="bullet"/>
        <w:lvlText w:val=""/>
        <w:lvlJc w:val="left"/>
        <w:pPr>
          <w:tabs>
            <w:tab w:val="num" w:pos="1440"/>
          </w:tabs>
          <w:ind w:left="1440" w:hanging="360"/>
        </w:pPr>
        <w:rPr>
          <w:rFonts w:ascii="Symbol" w:hAnsi="Symbol" w:hint="default"/>
          <w:sz w:val="20"/>
        </w:rPr>
      </w:lvl>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0"/>
    <w:footnote w:id="1"/>
  </w:footnotePr>
  <w:endnotePr>
    <w:endnote w:id="0"/>
    <w:endnote w:id="1"/>
  </w:endnotePr>
  <w:compat/>
  <w:rsids>
    <w:rsidRoot w:val="009217E5"/>
    <w:rsid w:val="00005D06"/>
    <w:rsid w:val="002674B8"/>
    <w:rsid w:val="0032338F"/>
    <w:rsid w:val="004810E3"/>
    <w:rsid w:val="004A3357"/>
    <w:rsid w:val="00510C0D"/>
    <w:rsid w:val="009217E5"/>
    <w:rsid w:val="0096512C"/>
    <w:rsid w:val="00A0235E"/>
    <w:rsid w:val="00A515AA"/>
    <w:rsid w:val="00BF5E69"/>
    <w:rsid w:val="00C70E6F"/>
    <w:rsid w:val="00CE753B"/>
    <w:rsid w:val="00D54CE2"/>
    <w:rsid w:val="00D718F9"/>
    <w:rsid w:val="00DA623F"/>
    <w:rsid w:val="00DD76DB"/>
    <w:rsid w:val="00E638FD"/>
    <w:rsid w:val="00F43E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8F"/>
  </w:style>
  <w:style w:type="paragraph" w:styleId="Heading1">
    <w:name w:val="heading 1"/>
    <w:basedOn w:val="Normal"/>
    <w:link w:val="Heading1Char"/>
    <w:uiPriority w:val="9"/>
    <w:qFormat/>
    <w:rsid w:val="00DA623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D718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18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12C"/>
  </w:style>
  <w:style w:type="paragraph" w:styleId="Footer">
    <w:name w:val="footer"/>
    <w:basedOn w:val="Normal"/>
    <w:link w:val="FooterChar"/>
    <w:uiPriority w:val="99"/>
    <w:unhideWhenUsed/>
    <w:rsid w:val="0096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12C"/>
  </w:style>
  <w:style w:type="paragraph" w:styleId="NormalWeb">
    <w:name w:val="Normal (Web)"/>
    <w:basedOn w:val="Normal"/>
    <w:uiPriority w:val="99"/>
    <w:unhideWhenUsed/>
    <w:rsid w:val="0096512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uiPriority w:val="22"/>
    <w:qFormat/>
    <w:rsid w:val="0096512C"/>
    <w:rPr>
      <w:b/>
      <w:bCs/>
    </w:rPr>
  </w:style>
  <w:style w:type="character" w:customStyle="1" w:styleId="Heading1Char">
    <w:name w:val="Heading 1 Char"/>
    <w:basedOn w:val="DefaultParagraphFont"/>
    <w:link w:val="Heading1"/>
    <w:uiPriority w:val="9"/>
    <w:rsid w:val="00DA623F"/>
    <w:rPr>
      <w:rFonts w:ascii="Times New Roman" w:eastAsia="Times New Roman" w:hAnsi="Times New Roman" w:cs="Times New Roman"/>
      <w:b/>
      <w:bCs/>
      <w:kern w:val="36"/>
      <w:sz w:val="48"/>
      <w:szCs w:val="48"/>
      <w:lang w:val="en-US"/>
    </w:rPr>
  </w:style>
  <w:style w:type="paragraph" w:styleId="BalloonText">
    <w:name w:val="Balloon Text"/>
    <w:basedOn w:val="Normal"/>
    <w:link w:val="BalloonTextChar"/>
    <w:uiPriority w:val="99"/>
    <w:semiHidden/>
    <w:unhideWhenUsed/>
    <w:rsid w:val="00DA6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23F"/>
    <w:rPr>
      <w:rFonts w:ascii="Tahoma" w:hAnsi="Tahoma" w:cs="Tahoma"/>
      <w:sz w:val="16"/>
      <w:szCs w:val="16"/>
    </w:rPr>
  </w:style>
  <w:style w:type="character" w:customStyle="1" w:styleId="Heading2Char">
    <w:name w:val="Heading 2 Char"/>
    <w:basedOn w:val="DefaultParagraphFont"/>
    <w:link w:val="Heading2"/>
    <w:uiPriority w:val="9"/>
    <w:semiHidden/>
    <w:rsid w:val="00D718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18F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718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12C"/>
  </w:style>
  <w:style w:type="paragraph" w:styleId="Footer">
    <w:name w:val="footer"/>
    <w:basedOn w:val="Normal"/>
    <w:link w:val="FooterChar"/>
    <w:uiPriority w:val="99"/>
    <w:unhideWhenUsed/>
    <w:rsid w:val="0096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12C"/>
  </w:style>
  <w:style w:type="paragraph" w:styleId="NormalWeb">
    <w:name w:val="Normal (Web)"/>
    <w:basedOn w:val="Normal"/>
    <w:uiPriority w:val="99"/>
    <w:semiHidden/>
    <w:unhideWhenUsed/>
    <w:rsid w:val="0096512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uiPriority w:val="22"/>
    <w:qFormat/>
    <w:rsid w:val="0096512C"/>
    <w:rPr>
      <w:b/>
      <w:bCs/>
    </w:rPr>
  </w:style>
</w:styles>
</file>

<file path=word/webSettings.xml><?xml version="1.0" encoding="utf-8"?>
<w:webSettings xmlns:r="http://schemas.openxmlformats.org/officeDocument/2006/relationships" xmlns:w="http://schemas.openxmlformats.org/wordprocessingml/2006/main">
  <w:divs>
    <w:div w:id="1664551">
      <w:bodyDiv w:val="1"/>
      <w:marLeft w:val="0"/>
      <w:marRight w:val="0"/>
      <w:marTop w:val="0"/>
      <w:marBottom w:val="0"/>
      <w:divBdr>
        <w:top w:val="none" w:sz="0" w:space="0" w:color="auto"/>
        <w:left w:val="none" w:sz="0" w:space="0" w:color="auto"/>
        <w:bottom w:val="none" w:sz="0" w:space="0" w:color="auto"/>
        <w:right w:val="none" w:sz="0" w:space="0" w:color="auto"/>
      </w:divBdr>
    </w:div>
    <w:div w:id="245767723">
      <w:bodyDiv w:val="1"/>
      <w:marLeft w:val="0"/>
      <w:marRight w:val="0"/>
      <w:marTop w:val="0"/>
      <w:marBottom w:val="0"/>
      <w:divBdr>
        <w:top w:val="none" w:sz="0" w:space="0" w:color="auto"/>
        <w:left w:val="none" w:sz="0" w:space="0" w:color="auto"/>
        <w:bottom w:val="none" w:sz="0" w:space="0" w:color="auto"/>
        <w:right w:val="none" w:sz="0" w:space="0" w:color="auto"/>
      </w:divBdr>
    </w:div>
    <w:div w:id="416170267">
      <w:bodyDiv w:val="1"/>
      <w:marLeft w:val="0"/>
      <w:marRight w:val="0"/>
      <w:marTop w:val="0"/>
      <w:marBottom w:val="0"/>
      <w:divBdr>
        <w:top w:val="none" w:sz="0" w:space="0" w:color="auto"/>
        <w:left w:val="none" w:sz="0" w:space="0" w:color="auto"/>
        <w:bottom w:val="none" w:sz="0" w:space="0" w:color="auto"/>
        <w:right w:val="none" w:sz="0" w:space="0" w:color="auto"/>
      </w:divBdr>
    </w:div>
    <w:div w:id="513500046">
      <w:bodyDiv w:val="1"/>
      <w:marLeft w:val="0"/>
      <w:marRight w:val="0"/>
      <w:marTop w:val="0"/>
      <w:marBottom w:val="0"/>
      <w:divBdr>
        <w:top w:val="none" w:sz="0" w:space="0" w:color="auto"/>
        <w:left w:val="none" w:sz="0" w:space="0" w:color="auto"/>
        <w:bottom w:val="none" w:sz="0" w:space="0" w:color="auto"/>
        <w:right w:val="none" w:sz="0" w:space="0" w:color="auto"/>
      </w:divBdr>
    </w:div>
    <w:div w:id="727605046">
      <w:bodyDiv w:val="1"/>
      <w:marLeft w:val="0"/>
      <w:marRight w:val="0"/>
      <w:marTop w:val="0"/>
      <w:marBottom w:val="0"/>
      <w:divBdr>
        <w:top w:val="none" w:sz="0" w:space="0" w:color="auto"/>
        <w:left w:val="none" w:sz="0" w:space="0" w:color="auto"/>
        <w:bottom w:val="none" w:sz="0" w:space="0" w:color="auto"/>
        <w:right w:val="none" w:sz="0" w:space="0" w:color="auto"/>
      </w:divBdr>
    </w:div>
    <w:div w:id="888880651">
      <w:bodyDiv w:val="1"/>
      <w:marLeft w:val="0"/>
      <w:marRight w:val="0"/>
      <w:marTop w:val="0"/>
      <w:marBottom w:val="0"/>
      <w:divBdr>
        <w:top w:val="none" w:sz="0" w:space="0" w:color="auto"/>
        <w:left w:val="none" w:sz="0" w:space="0" w:color="auto"/>
        <w:bottom w:val="none" w:sz="0" w:space="0" w:color="auto"/>
        <w:right w:val="none" w:sz="0" w:space="0" w:color="auto"/>
      </w:divBdr>
    </w:div>
    <w:div w:id="1048728404">
      <w:bodyDiv w:val="1"/>
      <w:marLeft w:val="0"/>
      <w:marRight w:val="0"/>
      <w:marTop w:val="0"/>
      <w:marBottom w:val="0"/>
      <w:divBdr>
        <w:top w:val="none" w:sz="0" w:space="0" w:color="auto"/>
        <w:left w:val="none" w:sz="0" w:space="0" w:color="auto"/>
        <w:bottom w:val="none" w:sz="0" w:space="0" w:color="auto"/>
        <w:right w:val="none" w:sz="0" w:space="0" w:color="auto"/>
      </w:divBdr>
    </w:div>
    <w:div w:id="1550264035">
      <w:bodyDiv w:val="1"/>
      <w:marLeft w:val="0"/>
      <w:marRight w:val="0"/>
      <w:marTop w:val="0"/>
      <w:marBottom w:val="0"/>
      <w:divBdr>
        <w:top w:val="none" w:sz="0" w:space="0" w:color="auto"/>
        <w:left w:val="none" w:sz="0" w:space="0" w:color="auto"/>
        <w:bottom w:val="none" w:sz="0" w:space="0" w:color="auto"/>
        <w:right w:val="none" w:sz="0" w:space="0" w:color="auto"/>
      </w:divBdr>
    </w:div>
    <w:div w:id="1598100652">
      <w:bodyDiv w:val="1"/>
      <w:marLeft w:val="0"/>
      <w:marRight w:val="0"/>
      <w:marTop w:val="0"/>
      <w:marBottom w:val="0"/>
      <w:divBdr>
        <w:top w:val="none" w:sz="0" w:space="0" w:color="auto"/>
        <w:left w:val="none" w:sz="0" w:space="0" w:color="auto"/>
        <w:bottom w:val="none" w:sz="0" w:space="0" w:color="auto"/>
        <w:right w:val="none" w:sz="0" w:space="0" w:color="auto"/>
      </w:divBdr>
    </w:div>
    <w:div w:id="1771856802">
      <w:bodyDiv w:val="1"/>
      <w:marLeft w:val="0"/>
      <w:marRight w:val="0"/>
      <w:marTop w:val="0"/>
      <w:marBottom w:val="0"/>
      <w:divBdr>
        <w:top w:val="none" w:sz="0" w:space="0" w:color="auto"/>
        <w:left w:val="none" w:sz="0" w:space="0" w:color="auto"/>
        <w:bottom w:val="none" w:sz="0" w:space="0" w:color="auto"/>
        <w:right w:val="none" w:sz="0" w:space="0" w:color="auto"/>
      </w:divBdr>
    </w:div>
    <w:div w:id="1799492721">
      <w:bodyDiv w:val="1"/>
      <w:marLeft w:val="0"/>
      <w:marRight w:val="0"/>
      <w:marTop w:val="0"/>
      <w:marBottom w:val="0"/>
      <w:divBdr>
        <w:top w:val="none" w:sz="0" w:space="0" w:color="auto"/>
        <w:left w:val="none" w:sz="0" w:space="0" w:color="auto"/>
        <w:bottom w:val="none" w:sz="0" w:space="0" w:color="auto"/>
        <w:right w:val="none" w:sz="0" w:space="0" w:color="auto"/>
      </w:divBdr>
    </w:div>
    <w:div w:id="1866939564">
      <w:bodyDiv w:val="1"/>
      <w:marLeft w:val="0"/>
      <w:marRight w:val="0"/>
      <w:marTop w:val="0"/>
      <w:marBottom w:val="0"/>
      <w:divBdr>
        <w:top w:val="none" w:sz="0" w:space="0" w:color="auto"/>
        <w:left w:val="none" w:sz="0" w:space="0" w:color="auto"/>
        <w:bottom w:val="none" w:sz="0" w:space="0" w:color="auto"/>
        <w:right w:val="none" w:sz="0" w:space="0" w:color="auto"/>
      </w:divBdr>
    </w:div>
    <w:div w:id="21297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yjus.com/commerce/financial-statements-of-a-company/"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byjus.com/commerce/class-11-accountancy-chapter-1-introduction-to-accounti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10</cp:revision>
  <dcterms:created xsi:type="dcterms:W3CDTF">2023-03-29T09:02:00Z</dcterms:created>
  <dcterms:modified xsi:type="dcterms:W3CDTF">2023-07-04T11:03:00Z</dcterms:modified>
</cp:coreProperties>
</file>